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153 vom 8. April 2026</w:t>
      </w:r>
    </w:p>
    <w:p>
      <w:r>
        <w:t>FR Kantonsgericht, 2026-04-08, FR</w:t>
      </w:r>
    </w:p>
    <w:p>
      <w:r>
        <w:rPr>
          <w:b/>
        </w:rPr>
        <w:t xml:space="preserve">Quelle: </w:t>
      </w:r>
      <w:r>
        <w:t>https://mcp.opencaselaw.ch/entscheid/fr_gerichte_604 2025 153</w:t>
      </w:r>
    </w:p>
    <w:p>
      <w:r>
        <w:t>FR: FR_GERICHTE 604 2025 153 du 8 avril 2026</w:t>
      </w:r>
    </w:p>
    <w:p>
      <w:r>
        <w:t>IT: FR_GERICHTE 604 2025 153 del 8 aprile 2026</w:t>
      </w:r>
    </w:p>
    <w:p>
      <w:pPr>
        <w:pStyle w:val="Heading2"/>
      </w:pPr>
      <w:r>
        <w:t>Erwägungen</w:t>
      </w:r>
    </w:p>
    <w:p>
      <w:r>
        <w:rPr>
          <w:b/>
        </w:rPr>
        <w:t>E. 6</w:t>
      </w:r>
    </w:p>
    <w:p>
      <w:r>
        <w:t>du règlement, le paiement du prix de CHF 80'000.- s'opère par l'inscription dans le compte courant de B.________ d'un avoir correspondant. Dans son bilan pour l'année 2020, A.________ Sàrl a indiqué une valeur immatérielle de CHF 80'000.- à titre de "C.________ Horsetrading" dans les actifs immobilisés et une valeur de CHF 80'000.- à titre de créance en faveur de B.________ dans les passifs. Le 1er décembre 2019, A.________ Sàrl a également conclu un contrat de licence nommé "Vereinbarung" avec B.________ SA en vertu duquel elle cède la jouissance des connaissances ("Know-How") de B.________ contre le paiement par B.________ SA de royalties s'élevant à 10% du prix de vente de toute affaire conclue grâce à l'utilisation de la licence. Le 15 janvier 2021, A.________ Sàrl a signé une reconnaissance de dette en faveur de B.________ portant sur le montant de CHF 80'000.-. Elle prévoyait que la créance est due depuis le 31 décembre 2020, mais que B.________ consentait à surseoir au paiement jusqu'au 31 décembre 2022. Un intérêt de 2% était en outre stipulé. B. Dans sa déclaration d'impôt pour la période fiscale 2019/2020, A.________ Sàrl a fait valoir un amortissement de la valeur de l'actif immatériel "C.________ Horsetrading" à hauteur de CHF 16'000.-. Par avis de taxation du 19 septembre 2022, confirmé sur réclamation par décision du 15 février 2023 et sur recours par le Tribunal cantonal le 21 juin 2023 (arrêts TC FR 604 2023 28-29 du 21 juin 2023) le Service cantonal de contribution (SCC) a procédé à la déduction au capital de A.________ Sàrl de l'amortissement de CHF 16'000.- opéré et à la reprise au bénéfice du même montant au titre d'une distribution dissimulée de dividendes. L'arrêt du Tribunal cantonal n'a pas été contesté. C. Dans sa déclaration d'impôt pour la période fiscale 2021, A.________ Sàrl a à nouveau fait valoir un amortissement de la valeur de l'actif immatériel "C.________ Horsetrading" à hauteur de CHF 16'000.-. Avant amortissement, cet actif était évalué à CHF 64'000.-. Par avis de taxation du 13 mars 2023, confirmé sur réclamation le 7 octobre 2025, le SCC a de nouveau procédé à la déduction au capital de A.________ Sàrl de l'amortissement de CHF 16'000.- opéré et à la reprise au bénéfice du même montant au titre d'une distribution dissimulée de dividendes, au motif que la contribuable avançait la même argumentation que celle tranchée par l'arrêt du Tribunal cantonal du 21 juin 2023.</w:t>
      </w:r>
    </w:p>
    <w:p>
      <w:r>
        <w:t>Tribunal cantonal TC Page 3 de 7 D. Par mémoire du 7 novembre 2025, A.________ Sàrl forme recours auprès du Tribunal cantonal à l'encontre de la décision sur réclamation du 7 octobre 2025, concluant à l'annulation de la décision attaquée et à l'admission de la réclamation, sous suite de frais. À l'appui de ses conclusions, elle fait valoir que la société est désormais gérée par D.________, gérante avec signature individuelle, ancienne cavalière military, alors que B.________ est maintenant associé sans signature de la société. D.________ a pris connaissance de la documentation existante établie par B.________, et, compte tenu de ses propres connaissances et de sa formation en psychologie, elle gère la société de manière indépendante, mais ces faits n'ont pas été pris en considération par le SCC. La recourante maintient également que la connaissance du marché et les connaissances techniques protégées en vertu du droit d'auteur ou d'un accord de confidentialité constituent un savoir-faire appréciable en argent, lequel doit pouvoir être inscrit à ce titre à l'actif du bilan. Elle rappelle que B.________ aurait également valablement pu libérer le capital social en nature par l'apport de son savoir-faire, mais qu'il avait été choisi de libéré le capital social en espèces, puis de mettre à disposition son savoir-faire contre le paiement de CHF 80'000.-. Elle estime enfin que si un revenu du savoir-faire devait être retenu en faveur de B.________, il aurait pu également déduire les charges en lien avec ce revenu. En l'occurrence, la recourante estime que la valeur du savoir- faire est taxée à trois ou quatre reprises, ce qui n'est pas acceptable. Le SCC s'est déterminé le 8 janvier 2026, concluant au rejet du recours au motif que la recourante n'invoque aucun argument nouveau depuis le précédent arrêt du Tribunal cantonal. Aucun autre échange d'écritures n'a eu lieu entre les parties. en droit Procédure 1. Recevabilité Le recours, remis à la poste le 7 novembre 2025 contre une décision sur réclamation du</w:t>
      </w:r>
    </w:p>
    <w:p>
      <w:r>
        <w:rPr>
          <w:b/>
        </w:rPr>
        <w:t>E. 7</w:t>
      </w:r>
    </w:p>
    <w:p>
      <w:r>
        <w:t>Vu le sort du recours, les frais de la procédure, arrêtés à CHF 800.- (art. 1 al. 1 du tarif du 17 décembre 1991 des frais de procédure et des indemnités en matière de juridiction administrative, Tarif JA; RSF 150.12), sont mis à la charge de la recourante (art. 131 al. 1 CPJA). Ils sont prélevés sur l'avance de frais versée.</w:t>
      </w:r>
    </w:p>
    <w:p>
      <w:r>
        <w:t>Tribunal cantonal TC Page 7 de 7 Pour le même motif, il n'est pas alloué d'indemnité de partie (art. 137 al. 1 CPJA a contrario). la Cour arrête : Impôt fédéral direct (604 2025 153) I. Le recours est rejeté. Partant, la décision sur réclamation du Service cantonal des contributions du 7 octobre 2025 est confirmée. Impôt cantonal (604 2025 154) II. Le recours est rejeté. Partant, la décision sur réclamation du Service cantonal des contributions du 7 octobre 2025 est confirmée. Frais III. Les frais de procédure, arrêtés à CHF 800.-, sont mis à la charge de A.________ Sàrl. Ils sont prélevés sur l'avance de frais versée. IV. Il n'est pas alloué d'indemnité de partie. 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20 avril 2026/pta La Présidente suppléante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